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EF" w:rsidRDefault="006379EF" w:rsidP="006379E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ประวัติผู้วิจัย</w:t>
      </w:r>
    </w:p>
    <w:p w:rsidR="006379EF" w:rsidRDefault="006379EF" w:rsidP="006379EF">
      <w:pPr>
        <w:tabs>
          <w:tab w:val="left" w:pos="72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6379EF" w:rsidRDefault="006379EF" w:rsidP="006379EF">
      <w:pPr>
        <w:tabs>
          <w:tab w:val="num" w:pos="141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379EF" w:rsidRPr="007B09E3" w:rsidRDefault="006379EF" w:rsidP="006379EF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ชื่อ - นามสกุล </w:t>
      </w:r>
      <w:r w:rsidRPr="007B09E3">
        <w:rPr>
          <w:rFonts w:ascii="TH SarabunPSK" w:hAnsi="TH SarabunPSK" w:cs="TH SarabunPSK"/>
          <w:sz w:val="32"/>
          <w:szCs w:val="32"/>
        </w:rPr>
        <w:t>(</w:t>
      </w:r>
      <w:r w:rsidRPr="007B09E3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B09E3">
        <w:rPr>
          <w:rFonts w:ascii="TH SarabunPSK" w:hAnsi="TH SarabunPSK" w:cs="TH SarabunPSK"/>
          <w:sz w:val="32"/>
          <w:szCs w:val="32"/>
        </w:rPr>
        <w:t xml:space="preserve">) </w:t>
      </w:r>
      <w:r w:rsidRPr="007B09E3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พิษณุ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ธรรมปัทม์</w:t>
      </w:r>
    </w:p>
    <w:p w:rsidR="006379EF" w:rsidRPr="007B09E3" w:rsidRDefault="006379EF" w:rsidP="006379EF">
      <w:pPr>
        <w:tabs>
          <w:tab w:val="left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7B09E3">
        <w:rPr>
          <w:rFonts w:ascii="TH SarabunPSK" w:hAnsi="TH SarabunPSK" w:cs="TH SarabunPSK"/>
          <w:sz w:val="32"/>
          <w:szCs w:val="32"/>
        </w:rPr>
        <w:t xml:space="preserve"> (</w:t>
      </w:r>
      <w:r w:rsidRPr="007B09E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B09E3">
        <w:rPr>
          <w:rFonts w:ascii="TH SarabunPSK" w:hAnsi="TH SarabunPSK" w:cs="TH SarabunPSK"/>
          <w:sz w:val="32"/>
          <w:szCs w:val="32"/>
        </w:rPr>
        <w:t>) Mr.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Pornpisanu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Thammapat</w:t>
      </w:r>
      <w:proofErr w:type="spellEnd"/>
    </w:p>
    <w:p w:rsid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 w:rsidRPr="007B09E3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 3</w:t>
      </w:r>
      <w:r>
        <w:rPr>
          <w:rFonts w:ascii="TH SarabunPSK" w:hAnsi="TH SarabunPSK" w:cs="TH SarabunPSK"/>
          <w:sz w:val="32"/>
          <w:szCs w:val="32"/>
        </w:rPr>
        <w:t>450500591157</w:t>
      </w:r>
    </w:p>
    <w:p w:rsidR="006379EF" w:rsidRPr="007B09E3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B09E3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</w:t>
      </w:r>
      <w:r w:rsidRPr="007B09E3">
        <w:rPr>
          <w:rFonts w:ascii="TH SarabunPSK" w:hAnsi="TH SarabunPSK" w:cs="TH SarabunPSK"/>
          <w:sz w:val="32"/>
          <w:szCs w:val="32"/>
          <w:cs/>
        </w:rPr>
        <w:t>จารย์</w:t>
      </w:r>
      <w:r w:rsidR="000F5AE6">
        <w:rPr>
          <w:rFonts w:ascii="TH SarabunPSK" w:hAnsi="TH SarabunPSK" w:cs="TH SarabunPSK"/>
          <w:sz w:val="32"/>
          <w:szCs w:val="32"/>
        </w:rPr>
        <w:t>/</w:t>
      </w:r>
      <w:r w:rsidR="000F5AE6">
        <w:rPr>
          <w:rFonts w:ascii="TH SarabunPSK" w:hAnsi="TH SarabunPSK" w:cs="TH SarabunPSK" w:hint="cs"/>
          <w:sz w:val="32"/>
          <w:szCs w:val="32"/>
          <w:cs/>
        </w:rPr>
        <w:t>ผู้ช่วยคณบดี</w:t>
      </w:r>
      <w:r w:rsidR="000F5AE6" w:rsidRPr="007B09E3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6379EF" w:rsidRPr="007B09E3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เวลาที่ใช้ทำวิจัย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6379EF" w:rsidRPr="007B09E3" w:rsidRDefault="006379EF" w:rsidP="006379EF">
      <w:pPr>
        <w:tabs>
          <w:tab w:val="num" w:pos="1418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4. </w:t>
      </w:r>
      <w:r w:rsidRPr="007B09E3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7B09E3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7B09E3">
        <w:rPr>
          <w:rFonts w:ascii="TH SarabunPSK" w:hAnsi="TH SarabunPSK" w:cs="TH SarabunPSK"/>
          <w:sz w:val="32"/>
          <w:szCs w:val="32"/>
        </w:rPr>
        <w:t xml:space="preserve">e-mail) </w:t>
      </w:r>
      <w:r w:rsidRPr="007B09E3">
        <w:rPr>
          <w:rFonts w:ascii="TH SarabunPSK" w:hAnsi="TH SarabunPSK" w:cs="TH SarabunPSK"/>
          <w:sz w:val="32"/>
          <w:szCs w:val="32"/>
          <w:cs/>
        </w:rPr>
        <w:t>คณะเทคโนโลยีการเกษตร มหาวิทยาลัยราช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>มหาสารคาม โทรศัพท์ 0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Pr="007B09E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1297755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 โทรสาร 043-725439 </w:t>
      </w:r>
      <w:r w:rsidRPr="007B09E3">
        <w:rPr>
          <w:rFonts w:ascii="TH SarabunPSK" w:hAnsi="TH SarabunPSK" w:cs="TH SarabunPSK"/>
          <w:sz w:val="32"/>
          <w:szCs w:val="32"/>
        </w:rPr>
        <w:t xml:space="preserve">e-mail: </w:t>
      </w:r>
      <w:r>
        <w:rPr>
          <w:rFonts w:ascii="TH SarabunPSK" w:hAnsi="TH SarabunPSK" w:cs="TH SarabunPSK"/>
          <w:sz w:val="32"/>
          <w:szCs w:val="32"/>
        </w:rPr>
        <w:t>thammapat.p</w:t>
      </w:r>
      <w:r w:rsidRPr="007B09E3">
        <w:rPr>
          <w:rFonts w:ascii="TH SarabunPSK" w:hAnsi="TH SarabunPSK" w:cs="TH SarabunPSK"/>
          <w:sz w:val="32"/>
          <w:szCs w:val="32"/>
        </w:rPr>
        <w:t>@</w:t>
      </w:r>
      <w:r>
        <w:rPr>
          <w:rFonts w:ascii="TH SarabunPSK" w:hAnsi="TH SarabunPSK" w:cs="TH SarabunPSK"/>
          <w:sz w:val="32"/>
          <w:szCs w:val="32"/>
        </w:rPr>
        <w:t>g</w:t>
      </w:r>
      <w:r w:rsidRPr="007B09E3">
        <w:rPr>
          <w:rFonts w:ascii="TH SarabunPSK" w:hAnsi="TH SarabunPSK" w:cs="TH SarabunPSK"/>
          <w:sz w:val="32"/>
          <w:szCs w:val="32"/>
        </w:rPr>
        <w:t>mail.com</w:t>
      </w:r>
    </w:p>
    <w:p w:rsidR="006379EF" w:rsidRPr="007B09E3" w:rsidRDefault="006379EF" w:rsidP="006379EF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B09E3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6379EF" w:rsidRP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ปร.ด</w:t>
      </w:r>
      <w:proofErr w:type="spellEnd"/>
      <w:r w:rsidRPr="006379EF">
        <w:rPr>
          <w:rFonts w:ascii="TH SarabunPSK" w:hAnsi="TH SarabunPSK" w:cs="TH SarabunPSK"/>
          <w:sz w:val="32"/>
          <w:szCs w:val="32"/>
          <w:cs/>
        </w:rPr>
        <w:t>. เทคโนโลยีการอาหาร (นานาชาติ) มหาวิทยาลัยมหาสารคาม</w:t>
      </w:r>
      <w:r w:rsidRPr="006379EF">
        <w:rPr>
          <w:rFonts w:ascii="TH SarabunPSK" w:hAnsi="TH SarabunPSK" w:cs="TH SarabunPSK"/>
          <w:sz w:val="32"/>
          <w:szCs w:val="32"/>
        </w:rPr>
        <w:t xml:space="preserve">, </w:t>
      </w:r>
      <w:r w:rsidRPr="006379EF">
        <w:rPr>
          <w:rFonts w:ascii="TH SarabunPSK" w:hAnsi="TH SarabunPSK" w:cs="TH SarabunPSK"/>
          <w:sz w:val="32"/>
          <w:szCs w:val="32"/>
          <w:cs/>
        </w:rPr>
        <w:t>2558</w:t>
      </w:r>
    </w:p>
    <w:p w:rsidR="006379EF" w:rsidRP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6379EF">
        <w:rPr>
          <w:rFonts w:ascii="TH SarabunPSK" w:hAnsi="TH SarabunPSK" w:cs="TH SarabunPSK"/>
          <w:sz w:val="32"/>
          <w:szCs w:val="32"/>
          <w:cs/>
        </w:rPr>
        <w:t>.ม. วิทยาศาสตร์และเทคโนโลยีการอาหาร มหาวิทยาลัยเชียงใหม่</w:t>
      </w:r>
      <w:r w:rsidRPr="006379EF">
        <w:rPr>
          <w:rFonts w:ascii="TH SarabunPSK" w:hAnsi="TH SarabunPSK" w:cs="TH SarabunPSK"/>
          <w:sz w:val="32"/>
          <w:szCs w:val="32"/>
        </w:rPr>
        <w:t xml:space="preserve">, </w:t>
      </w:r>
      <w:r w:rsidRPr="006379EF">
        <w:rPr>
          <w:rFonts w:ascii="TH SarabunPSK" w:hAnsi="TH SarabunPSK" w:cs="TH SarabunPSK"/>
          <w:sz w:val="32"/>
          <w:szCs w:val="32"/>
          <w:cs/>
        </w:rPr>
        <w:t>2552</w:t>
      </w:r>
    </w:p>
    <w:p w:rsid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Pr="006379EF">
        <w:rPr>
          <w:rFonts w:ascii="TH SarabunPSK" w:hAnsi="TH SarabunPSK" w:cs="TH SarabunPSK"/>
          <w:sz w:val="32"/>
          <w:szCs w:val="32"/>
          <w:cs/>
        </w:rPr>
        <w:t>. เทคโนโลยีการอาหารและโภชนาการ มหาวิทยาลัยมหาสารคาม</w:t>
      </w:r>
      <w:r w:rsidRPr="006379EF">
        <w:rPr>
          <w:rFonts w:ascii="TH SarabunPSK" w:hAnsi="TH SarabunPSK" w:cs="TH SarabunPSK"/>
          <w:sz w:val="32"/>
          <w:szCs w:val="32"/>
        </w:rPr>
        <w:t xml:space="preserve">, </w:t>
      </w:r>
      <w:r w:rsidRPr="006379EF">
        <w:rPr>
          <w:rFonts w:ascii="TH SarabunPSK" w:hAnsi="TH SarabunPSK" w:cs="TH SarabunPSK"/>
          <w:sz w:val="32"/>
          <w:szCs w:val="32"/>
          <w:cs/>
        </w:rPr>
        <w:t>2549</w:t>
      </w:r>
    </w:p>
    <w:p w:rsidR="006379EF" w:rsidRDefault="006379EF" w:rsidP="006379EF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</w:p>
    <w:p w:rsidR="006379EF" w:rsidRDefault="006379EF" w:rsidP="006379EF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79EF">
        <w:rPr>
          <w:rFonts w:ascii="TH SarabunPSK" w:hAnsi="TH SarabunPSK" w:cs="TH SarabunPSK"/>
          <w:sz w:val="32"/>
          <w:szCs w:val="32"/>
          <w:cs/>
        </w:rPr>
        <w:t>เคมีอาหาร</w:t>
      </w:r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</w:t>
      </w:r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อาหารเฉพาะทาง/อาหารเพื่อสุขภาพ</w:t>
      </w:r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เทคโนโลยีหลังการเก็บเกี่ยว</w:t>
      </w:r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 xml:space="preserve">ผลิตภัณฑ์บำรุงผิว </w:t>
      </w:r>
      <w:proofErr w:type="spellStart"/>
      <w:r w:rsidRPr="006379EF">
        <w:rPr>
          <w:rFonts w:ascii="TH SarabunPSK" w:hAnsi="TH SarabunPSK" w:cs="TH SarabunPSK"/>
          <w:sz w:val="32"/>
          <w:szCs w:val="32"/>
          <w:cs/>
        </w:rPr>
        <w:t>ซีรัม</w:t>
      </w:r>
      <w:proofErr w:type="spellEnd"/>
    </w:p>
    <w:p w:rsidR="006379EF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6379EF">
        <w:rPr>
          <w:rFonts w:ascii="TH SarabunPSK" w:hAnsi="TH SarabunPSK" w:cs="TH SarabunPSK"/>
          <w:sz w:val="32"/>
          <w:szCs w:val="32"/>
        </w:rPr>
        <w:t>Nutraceutical</w:t>
      </w:r>
      <w:proofErr w:type="spellEnd"/>
    </w:p>
    <w:p w:rsidR="006379EF" w:rsidRPr="007B09E3" w:rsidRDefault="006379EF" w:rsidP="006379EF">
      <w:pPr>
        <w:spacing w:after="0" w:line="240" w:lineRule="auto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379EF">
        <w:rPr>
          <w:rFonts w:ascii="TH SarabunPSK" w:hAnsi="TH SarabunPSK" w:cs="TH SarabunPSK"/>
          <w:sz w:val="32"/>
          <w:szCs w:val="32"/>
          <w:cs/>
        </w:rPr>
        <w:t>เทคโนโลยีการแปรรูป</w:t>
      </w:r>
    </w:p>
    <w:p w:rsidR="006379EF" w:rsidRPr="007B09E3" w:rsidRDefault="006379EF" w:rsidP="006379EF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6379EF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Raviyan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P.,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S. (2010).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Proximate and fatty </w:t>
      </w:r>
      <w:r w:rsidRPr="002031B5">
        <w:rPr>
          <w:rFonts w:ascii="TH SarabunPSK" w:hAnsi="TH SarabunPSK" w:cs="TH SarabunPSK"/>
          <w:sz w:val="32"/>
          <w:szCs w:val="32"/>
        </w:rPr>
        <w:t>acids composition of the muscles and viscera of Asian catfish (</w:t>
      </w:r>
      <w:proofErr w:type="spellStart"/>
      <w:r w:rsidRPr="002031B5">
        <w:rPr>
          <w:rFonts w:ascii="TH SarabunPSK" w:hAnsi="TH SarabunPSK" w:cs="TH SarabunPSK"/>
          <w:i/>
          <w:iCs/>
          <w:sz w:val="32"/>
          <w:szCs w:val="32"/>
        </w:rPr>
        <w:t>Pangasius</w:t>
      </w:r>
      <w:proofErr w:type="spellEnd"/>
      <w:r w:rsidRPr="002031B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2031B5">
        <w:rPr>
          <w:rFonts w:ascii="TH SarabunPSK" w:hAnsi="TH SarabunPSK" w:cs="TH SarabunPSK"/>
          <w:i/>
          <w:iCs/>
          <w:sz w:val="32"/>
          <w:szCs w:val="32"/>
        </w:rPr>
        <w:t>bocourti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).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Food Chemistry, 122, 223-227.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Meeso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 (2015).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 xml:space="preserve">Effects of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NaCl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and soaking temperature on the phenolic compounds, </w:t>
      </w:r>
      <w:r w:rsidRPr="002031B5">
        <w:rPr>
          <w:rFonts w:ascii="Arial" w:hAnsi="Arial" w:cs="Arial"/>
          <w:sz w:val="24"/>
          <w:szCs w:val="24"/>
        </w:rPr>
        <w:t>α</w:t>
      </w:r>
      <w:r w:rsidRPr="002031B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tocopherol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</w:t>
      </w:r>
      <w:r w:rsidRPr="002031B5">
        <w:rPr>
          <w:rFonts w:ascii="Arial" w:hAnsi="Arial" w:cs="Arial"/>
          <w:szCs w:val="22"/>
        </w:rPr>
        <w:t>γ</w:t>
      </w:r>
      <w:r w:rsidRPr="002031B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oryzanol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and fatty acids of glutinous rice.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Food Chemistry,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175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218-224.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Meeso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 (2016).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 xml:space="preserve">Effects of the traditional method and an alternative parboiling process on the fatty acids, vitamin E, </w:t>
      </w:r>
      <w:r w:rsidRPr="002031B5">
        <w:rPr>
          <w:rFonts w:ascii="Arial" w:hAnsi="Arial" w:cs="Arial"/>
          <w:sz w:val="24"/>
          <w:szCs w:val="24"/>
        </w:rPr>
        <w:t>γ</w:t>
      </w:r>
      <w:r w:rsidRPr="002031B5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oryzanol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and phenolic acids of glutinous rice.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Food Chemistry,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194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230-236.</w:t>
      </w:r>
    </w:p>
    <w:p w:rsidR="006379EF" w:rsidRPr="002031B5" w:rsidRDefault="006379EF" w:rsidP="006379EF">
      <w:pPr>
        <w:ind w:left="1134" w:hanging="414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2031B5">
        <w:rPr>
          <w:rFonts w:ascii="TH SarabunPSK" w:hAnsi="TH SarabunPSK" w:cs="TH SarabunPSK"/>
          <w:b/>
          <w:bCs/>
          <w:sz w:val="32"/>
          <w:szCs w:val="32"/>
        </w:rPr>
        <w:lastRenderedPageBreak/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Raviyan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, P (2016).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Concentration of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eicosapentaenoic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acid (EPA) and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docosahexaenoic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acid (DHA) of Asian catfish oil by urea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complexation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: optimization of reaction conditions.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Songklanakarin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 Journal of Science and Technology, 38(2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163-170.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Meeso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 (2014). Effect of soaking conditions on resistant starch of glutinous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rice :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Optimization of soaking conditions.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18</w:t>
      </w:r>
      <w:r w:rsidRPr="002031B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2031B5">
        <w:rPr>
          <w:rFonts w:ascii="TH SarabunPSK" w:hAnsi="TH SarabunPSK" w:cs="TH SarabunPSK"/>
          <w:sz w:val="32"/>
          <w:szCs w:val="32"/>
        </w:rPr>
        <w:t>World Congress on Clinical Nutrition (WCCN) 2014.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December 1-3, 2014.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Dakaew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Ratmanee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P.,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Pichai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S..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 xml:space="preserve">&amp; 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Palakawong</w:t>
      </w:r>
      <w:proofErr w:type="spellEnd"/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, C. (2016).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Effect of soaking conditions on resistant starch of glutinous rice –A response surface approach.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hAnsi="TH SarabunPSK" w:cs="TH SarabunPSK"/>
          <w:sz w:val="32"/>
          <w:szCs w:val="32"/>
        </w:rPr>
        <w:t>ICSSS 2016.</w:t>
      </w:r>
      <w:proofErr w:type="gramEnd"/>
      <w:r w:rsidRPr="002031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031B5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2031B5">
        <w:rPr>
          <w:rFonts w:ascii="TH SarabunPSK" w:hAnsi="TH SarabunPSK" w:cs="TH SarabunPSK"/>
          <w:sz w:val="32"/>
          <w:szCs w:val="32"/>
        </w:rPr>
        <w:t>, September 22-23, 2016.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พร</w:t>
      </w: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พิษณุ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ธรรมปัทม์</w:t>
      </w:r>
      <w:r w:rsidRPr="002031B5">
        <w:rPr>
          <w:rFonts w:ascii="TH SarabunPSK" w:hAnsi="TH SarabunPSK" w:cs="TH SarabunPSK"/>
          <w:sz w:val="32"/>
          <w:szCs w:val="32"/>
          <w:cs/>
        </w:rPr>
        <w:t xml:space="preserve"> และพัชริ</w:t>
      </w:r>
      <w:proofErr w:type="spellStart"/>
      <w:r w:rsidRPr="002031B5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2031B5">
        <w:rPr>
          <w:rFonts w:ascii="TH SarabunPSK" w:hAnsi="TH SarabunPSK" w:cs="TH SarabunPSK"/>
          <w:sz w:val="32"/>
          <w:szCs w:val="32"/>
          <w:cs/>
        </w:rPr>
        <w:t xml:space="preserve"> ระวียัน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(2551). ผลของอุณหภูมิต่อการเพิ่มความเข้มข้น 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EPA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และ 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DHA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>จากน้ำมันปลาเผาะโดยการตกผลึกกับยู</w:t>
      </w:r>
      <w:proofErr w:type="spellStart"/>
      <w:r w:rsidRPr="002031B5">
        <w:rPr>
          <w:rFonts w:ascii="TH SarabunPSK" w:eastAsia="SimSun" w:hAnsi="TH SarabunPSK" w:cs="TH SarabunPSK"/>
          <w:sz w:val="32"/>
          <w:szCs w:val="32"/>
          <w:cs/>
        </w:rPr>
        <w:t>เรีย</w:t>
      </w:r>
      <w:proofErr w:type="spellEnd"/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. วารสารเกษตรนเรศวร, </w:t>
      </w:r>
      <w:r w:rsidRPr="002031B5">
        <w:rPr>
          <w:rFonts w:ascii="TH SarabunPSK" w:eastAsia="SimSun" w:hAnsi="TH SarabunPSK" w:cs="TH SarabunPSK"/>
          <w:sz w:val="32"/>
          <w:szCs w:val="32"/>
        </w:rPr>
        <w:t>11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>(</w:t>
      </w:r>
      <w:r w:rsidRPr="002031B5">
        <w:rPr>
          <w:rFonts w:ascii="TH SarabunPSK" w:eastAsia="SimSun" w:hAnsi="TH SarabunPSK" w:cs="TH SarabunPSK"/>
          <w:sz w:val="32"/>
          <w:szCs w:val="32"/>
        </w:rPr>
        <w:t>3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>)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 : 43-51.</w:t>
      </w:r>
    </w:p>
    <w:p w:rsidR="006379EF" w:rsidRPr="002031B5" w:rsidRDefault="006379EF" w:rsidP="006379EF">
      <w:pPr>
        <w:ind w:left="1134" w:hanging="425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spellStart"/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Siriamornpun</w:t>
      </w:r>
      <w:proofErr w:type="spellEnd"/>
      <w:r w:rsidRPr="002031B5">
        <w:rPr>
          <w:rFonts w:ascii="TH SarabunPSK" w:eastAsia="SimSun" w:hAnsi="TH SarabunPSK" w:cs="TH SarabunPSK"/>
          <w:sz w:val="32"/>
          <w:szCs w:val="32"/>
        </w:rPr>
        <w:t xml:space="preserve">, S., </w:t>
      </w:r>
      <w:r w:rsidRPr="002031B5">
        <w:rPr>
          <w:rFonts w:ascii="TH SarabunPSK" w:hAnsi="TH SarabunPSK" w:cs="TH SarabunPSK"/>
          <w:sz w:val="32"/>
          <w:szCs w:val="32"/>
        </w:rPr>
        <w:t>&amp;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spellStart"/>
      <w:r w:rsidRPr="002031B5">
        <w:rPr>
          <w:rFonts w:ascii="TH SarabunPSK" w:eastAsia="SimSun" w:hAnsi="TH SarabunPSK" w:cs="TH SarabunPSK"/>
          <w:b/>
          <w:bCs/>
          <w:sz w:val="32"/>
          <w:szCs w:val="32"/>
        </w:rPr>
        <w:t>Thammapat</w:t>
      </w:r>
      <w:proofErr w:type="spellEnd"/>
      <w:r w:rsidRPr="002031B5">
        <w:rPr>
          <w:rFonts w:ascii="TH SarabunPSK" w:eastAsia="SimSun" w:hAnsi="TH SarabunPSK" w:cs="TH SarabunPSK"/>
          <w:b/>
          <w:bCs/>
          <w:sz w:val="32"/>
          <w:szCs w:val="32"/>
        </w:rPr>
        <w:t>, P</w:t>
      </w:r>
      <w:r w:rsidRPr="002031B5">
        <w:rPr>
          <w:rFonts w:ascii="TH SarabunPSK" w:eastAsia="SimSun" w:hAnsi="TH SarabunPSK" w:cs="TH SarabunPSK"/>
          <w:sz w:val="32"/>
          <w:szCs w:val="32"/>
        </w:rPr>
        <w:t>. (2008).</w:t>
      </w:r>
      <w:proofErr w:type="gramEnd"/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Insects as a Delicacy and a Nutritious Food in Thailand.</w:t>
      </w:r>
      <w:proofErr w:type="gramEnd"/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International Union of Food Science &amp; Technology.</w:t>
      </w:r>
      <w:proofErr w:type="gramEnd"/>
      <w:r w:rsidRPr="002031B5">
        <w:rPr>
          <w:rFonts w:ascii="TH SarabunPSK" w:eastAsia="SimSun" w:hAnsi="TH SarabunPSK" w:cs="TH SarabunPSK"/>
          <w:sz w:val="32"/>
          <w:szCs w:val="32"/>
        </w:rPr>
        <w:t xml:space="preserve"> </w:t>
      </w:r>
      <w:proofErr w:type="gramStart"/>
      <w:r w:rsidRPr="002031B5">
        <w:rPr>
          <w:rFonts w:ascii="TH SarabunPSK" w:eastAsia="SimSun" w:hAnsi="TH SarabunPSK" w:cs="TH SarabunPSK"/>
          <w:sz w:val="32"/>
          <w:szCs w:val="32"/>
        </w:rPr>
        <w:t>1-12.</w:t>
      </w:r>
      <w:proofErr w:type="gramEnd"/>
    </w:p>
    <w:p w:rsidR="006379EF" w:rsidRDefault="006379EF" w:rsidP="006379EF">
      <w:pPr>
        <w:ind w:firstLine="709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พร</w:t>
      </w:r>
      <w:proofErr w:type="spellStart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>พิษณุ</w:t>
      </w:r>
      <w:proofErr w:type="spellEnd"/>
      <w:r w:rsidRPr="002031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ธรรมปัทม์</w:t>
      </w:r>
      <w:r w:rsidRPr="002031B5">
        <w:rPr>
          <w:rFonts w:ascii="TH SarabunPSK" w:hAnsi="TH SarabunPSK" w:cs="TH SarabunPSK"/>
          <w:sz w:val="32"/>
          <w:szCs w:val="32"/>
          <w:cs/>
        </w:rPr>
        <w:t xml:space="preserve"> และพัชริ</w:t>
      </w:r>
      <w:proofErr w:type="spellStart"/>
      <w:r w:rsidRPr="002031B5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2031B5">
        <w:rPr>
          <w:rFonts w:ascii="TH SarabunPSK" w:hAnsi="TH SarabunPSK" w:cs="TH SarabunPSK"/>
          <w:sz w:val="32"/>
          <w:szCs w:val="32"/>
          <w:cs/>
        </w:rPr>
        <w:t xml:space="preserve"> ระวียัน</w:t>
      </w:r>
      <w:r w:rsidRPr="002031B5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(2550). ปลาเผาะ </w:t>
      </w:r>
      <w:r w:rsidRPr="002031B5">
        <w:rPr>
          <w:rFonts w:ascii="TH SarabunPSK" w:eastAsia="SimSun" w:hAnsi="TH SarabunPSK" w:cs="TH SarabunPSK"/>
          <w:sz w:val="32"/>
          <w:szCs w:val="32"/>
          <w:lang w:val="en-GB"/>
        </w:rPr>
        <w:t xml:space="preserve">: </w:t>
      </w:r>
      <w:r w:rsidRPr="002031B5">
        <w:rPr>
          <w:rFonts w:ascii="TH SarabunPSK" w:eastAsia="SimSun" w:hAnsi="TH SarabunPSK" w:cs="TH SarabunPSK"/>
          <w:sz w:val="32"/>
          <w:szCs w:val="32"/>
          <w:cs/>
          <w:lang w:val="en-GB"/>
        </w:rPr>
        <w:t>แหล่งของโอ</w:t>
      </w:r>
      <w:proofErr w:type="spellStart"/>
      <w:r w:rsidRPr="002031B5">
        <w:rPr>
          <w:rFonts w:ascii="TH SarabunPSK" w:eastAsia="SimSun" w:hAnsi="TH SarabunPSK" w:cs="TH SarabunPSK"/>
          <w:sz w:val="32"/>
          <w:szCs w:val="32"/>
          <w:cs/>
          <w:lang w:val="en-GB"/>
        </w:rPr>
        <w:t>เมก้า</w:t>
      </w:r>
      <w:proofErr w:type="spellEnd"/>
      <w:r w:rsidRPr="002031B5">
        <w:rPr>
          <w:rFonts w:ascii="TH SarabunPSK" w:eastAsia="SimSun" w:hAnsi="TH SarabunPSK" w:cs="TH SarabunPSK"/>
          <w:sz w:val="32"/>
          <w:szCs w:val="32"/>
          <w:cs/>
          <w:lang w:val="en-GB"/>
        </w:rPr>
        <w:t xml:space="preserve"> 3. </w:t>
      </w:r>
    </w:p>
    <w:p w:rsidR="006379EF" w:rsidRDefault="006379EF" w:rsidP="006379EF">
      <w:pPr>
        <w:ind w:left="1134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วารสารสถาบันอาหาร 9(54) </w:t>
      </w:r>
      <w:r w:rsidRPr="002031B5">
        <w:rPr>
          <w:rFonts w:ascii="TH SarabunPSK" w:eastAsia="SimSun" w:hAnsi="TH SarabunPSK" w:cs="TH SarabunPSK"/>
          <w:sz w:val="32"/>
          <w:szCs w:val="32"/>
          <w:lang w:val="en-GB"/>
        </w:rPr>
        <w:t>:</w:t>
      </w:r>
      <w:r w:rsidRPr="002031B5">
        <w:rPr>
          <w:rFonts w:ascii="TH SarabunPSK" w:eastAsia="SimSun" w:hAnsi="TH SarabunPSK" w:cs="TH SarabunPSK"/>
          <w:sz w:val="32"/>
          <w:szCs w:val="32"/>
          <w:cs/>
        </w:rPr>
        <w:t xml:space="preserve"> 75-81.</w:t>
      </w:r>
    </w:p>
    <w:p w:rsidR="006379EF" w:rsidRDefault="006379EF" w:rsidP="006379EF">
      <w:pPr>
        <w:contextualSpacing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ab/>
      </w:r>
      <w:proofErr w:type="spellStart"/>
      <w:proofErr w:type="gramStart"/>
      <w:r w:rsidRPr="008D5ACF">
        <w:rPr>
          <w:rFonts w:ascii="TH SarabunPSK" w:eastAsia="SimSun" w:hAnsi="TH SarabunPSK" w:cs="TH SarabunPSK"/>
          <w:b/>
          <w:bCs/>
          <w:sz w:val="32"/>
          <w:szCs w:val="32"/>
        </w:rPr>
        <w:t>Thammapat</w:t>
      </w:r>
      <w:proofErr w:type="spellEnd"/>
      <w:r w:rsidRPr="008D5ACF">
        <w:rPr>
          <w:rFonts w:ascii="TH SarabunPSK" w:eastAsia="SimSun" w:hAnsi="TH SarabunPSK" w:cs="TH SarabunPSK"/>
          <w:b/>
          <w:bCs/>
          <w:sz w:val="32"/>
          <w:szCs w:val="32"/>
        </w:rPr>
        <w:t>, P</w:t>
      </w:r>
      <w:r>
        <w:rPr>
          <w:rFonts w:ascii="TH SarabunPSK" w:eastAsia="SimSun" w:hAnsi="TH SarabunPSK" w:cs="TH SarabunPSK"/>
          <w:sz w:val="32"/>
          <w:szCs w:val="32"/>
        </w:rPr>
        <w:t xml:space="preserve">., </w:t>
      </w:r>
      <w:r w:rsidRPr="002031B5">
        <w:rPr>
          <w:rFonts w:ascii="TH SarabunPSK" w:hAnsi="TH SarabunPSK" w:cs="TH SarabunPSK"/>
          <w:sz w:val="32"/>
          <w:szCs w:val="32"/>
        </w:rPr>
        <w:t>&amp;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Raviyan</w:t>
      </w:r>
      <w:proofErr w:type="spellEnd"/>
      <w:r>
        <w:rPr>
          <w:rFonts w:ascii="TH SarabunPSK" w:hAnsi="TH SarabunPSK" w:cs="TH SarabunPSK"/>
          <w:sz w:val="32"/>
          <w:szCs w:val="32"/>
        </w:rPr>
        <w:t>, P. (2007).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eastAsia="SimSun" w:hAnsi="TH SarabunPSK" w:cs="TH SarabunPSK"/>
          <w:sz w:val="32"/>
          <w:szCs w:val="32"/>
        </w:rPr>
        <w:t>ngasius</w:t>
      </w:r>
      <w:proofErr w:type="spellEnd"/>
      <w:r>
        <w:rPr>
          <w:rFonts w:ascii="TH SarabunPSK" w:eastAsia="SimSun" w:hAnsi="TH SarabunPSK" w:cs="TH SarabunPSK"/>
          <w:sz w:val="32"/>
          <w:szCs w:val="32"/>
        </w:rPr>
        <w:t xml:space="preserve"> (</w:t>
      </w:r>
      <w:proofErr w:type="spellStart"/>
      <w:r w:rsidRPr="001C66E2">
        <w:rPr>
          <w:rFonts w:ascii="TH SarabunPSK" w:eastAsia="SimSun" w:hAnsi="TH SarabunPSK" w:cs="TH SarabunPSK"/>
          <w:i/>
          <w:iCs/>
          <w:sz w:val="32"/>
          <w:szCs w:val="32"/>
        </w:rPr>
        <w:t>Pangasius</w:t>
      </w:r>
      <w:proofErr w:type="spellEnd"/>
      <w:r w:rsidRPr="001C66E2">
        <w:rPr>
          <w:rFonts w:ascii="TH SarabunPSK" w:eastAsia="SimSun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1C66E2">
        <w:rPr>
          <w:rFonts w:ascii="TH SarabunPSK" w:eastAsia="SimSun" w:hAnsi="TH SarabunPSK" w:cs="TH SarabunPSK"/>
          <w:i/>
          <w:iCs/>
          <w:sz w:val="32"/>
          <w:szCs w:val="32"/>
        </w:rPr>
        <w:t>bocourti</w:t>
      </w:r>
      <w:proofErr w:type="spellEnd"/>
      <w:proofErr w:type="gramStart"/>
      <w:r>
        <w:rPr>
          <w:rFonts w:ascii="TH SarabunPSK" w:eastAsia="SimSun" w:hAnsi="TH SarabunPSK" w:cs="TH SarabunPSK"/>
          <w:sz w:val="32"/>
          <w:szCs w:val="32"/>
        </w:rPr>
        <w:t>) :</w:t>
      </w:r>
      <w:proofErr w:type="gramEnd"/>
      <w:r>
        <w:rPr>
          <w:rFonts w:ascii="TH SarabunPSK" w:eastAsia="SimSun" w:hAnsi="TH SarabunPSK" w:cs="TH SarabunPSK"/>
          <w:sz w:val="32"/>
          <w:szCs w:val="32"/>
        </w:rPr>
        <w:t xml:space="preserve"> Source </w:t>
      </w:r>
    </w:p>
    <w:p w:rsidR="006379EF" w:rsidRDefault="006379EF" w:rsidP="006379EF">
      <w:pPr>
        <w:ind w:left="1134"/>
        <w:contextualSpacing/>
        <w:rPr>
          <w:rFonts w:ascii="TH SarabunPSK" w:eastAsia="SimSun" w:hAnsi="TH SarabunPSK" w:cs="TH SarabunPSK"/>
          <w:sz w:val="32"/>
          <w:szCs w:val="32"/>
        </w:rPr>
      </w:pPr>
      <w:proofErr w:type="gramStart"/>
      <w:r>
        <w:rPr>
          <w:rFonts w:ascii="TH SarabunPSK" w:eastAsia="SimSun" w:hAnsi="TH SarabunPSK" w:cs="TH SarabunPSK"/>
          <w:sz w:val="32"/>
          <w:szCs w:val="32"/>
        </w:rPr>
        <w:t>of</w:t>
      </w:r>
      <w:proofErr w:type="gramEnd"/>
      <w:r>
        <w:rPr>
          <w:rFonts w:ascii="TH SarabunPSK" w:eastAsia="SimSun" w:hAnsi="TH SarabunPSK" w:cs="TH SarabunPSK"/>
          <w:sz w:val="32"/>
          <w:szCs w:val="32"/>
        </w:rPr>
        <w:t xml:space="preserve"> omega-3 and health benefit. Research path: Towards a green and happy society. November 23-25, 2007.</w:t>
      </w:r>
    </w:p>
    <w:p w:rsidR="006379EF" w:rsidRPr="007B09E3" w:rsidRDefault="006379EF" w:rsidP="006379EF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</w:p>
    <w:p w:rsidR="006379EF" w:rsidRPr="007B09E3" w:rsidRDefault="006379EF" w:rsidP="006379EF">
      <w:pPr>
        <w:tabs>
          <w:tab w:val="left" w:pos="1814"/>
        </w:tabs>
        <w:spacing w:after="0" w:line="240" w:lineRule="auto"/>
        <w:ind w:left="709"/>
        <w:contextualSpacing/>
        <w:rPr>
          <w:rFonts w:ascii="TH SarabunPSK" w:eastAsia="TH SarabunPSK" w:hAnsi="TH SarabunPSK" w:cs="TH SarabunPSK"/>
          <w:b/>
          <w:sz w:val="32"/>
          <w:szCs w:val="32"/>
        </w:rPr>
      </w:pPr>
    </w:p>
    <w:p w:rsidR="006379EF" w:rsidRPr="007B09E3" w:rsidRDefault="006379EF" w:rsidP="006379EF">
      <w:pPr>
        <w:tabs>
          <w:tab w:val="left" w:pos="1814"/>
        </w:tabs>
        <w:spacing w:after="0" w:line="240" w:lineRule="auto"/>
        <w:ind w:left="709"/>
        <w:contextualSpacing/>
        <w:rPr>
          <w:rFonts w:ascii="TH SarabunPSK" w:eastAsia="TH SarabunPSK" w:hAnsi="TH SarabunPSK" w:cs="TH SarabunPSK"/>
          <w:b/>
          <w:sz w:val="32"/>
          <w:szCs w:val="32"/>
        </w:rPr>
      </w:pPr>
    </w:p>
    <w:p w:rsidR="006379EF" w:rsidRPr="007B09E3" w:rsidRDefault="006379EF" w:rsidP="006379EF">
      <w:pPr>
        <w:spacing w:after="0" w:line="240" w:lineRule="auto"/>
        <w:ind w:left="709" w:hanging="709"/>
        <w:contextualSpacing/>
        <w:rPr>
          <w:rFonts w:ascii="TH SarabunPSK" w:eastAsia="TH SarabunPSK" w:hAnsi="TH SarabunPSK" w:cs="TH SarabunPSK"/>
          <w:sz w:val="32"/>
          <w:szCs w:val="32"/>
        </w:rPr>
      </w:pPr>
    </w:p>
    <w:p w:rsidR="001A272C" w:rsidRDefault="001A272C"/>
    <w:sectPr w:rsidR="001A272C" w:rsidSect="00936B6C">
      <w:headerReference w:type="default" r:id="rId7"/>
      <w:pgSz w:w="11906" w:h="16838"/>
      <w:pgMar w:top="2160" w:right="1440" w:bottom="1440" w:left="2160" w:header="706" w:footer="706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F6" w:rsidRDefault="007558F6">
      <w:pPr>
        <w:spacing w:after="0" w:line="240" w:lineRule="auto"/>
      </w:pPr>
      <w:r>
        <w:separator/>
      </w:r>
    </w:p>
  </w:endnote>
  <w:endnote w:type="continuationSeparator" w:id="0">
    <w:p w:rsidR="007558F6" w:rsidRDefault="007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F6" w:rsidRDefault="007558F6">
      <w:pPr>
        <w:spacing w:after="0" w:line="240" w:lineRule="auto"/>
      </w:pPr>
      <w:r>
        <w:separator/>
      </w:r>
    </w:p>
  </w:footnote>
  <w:footnote w:type="continuationSeparator" w:id="0">
    <w:p w:rsidR="007558F6" w:rsidRDefault="007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D7" w:rsidRPr="00AE0B53" w:rsidRDefault="007558F6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507DD7" w:rsidRDefault="007558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F"/>
    <w:rsid w:val="000F5AE6"/>
    <w:rsid w:val="001A272C"/>
    <w:rsid w:val="004173B9"/>
    <w:rsid w:val="006379EF"/>
    <w:rsid w:val="00720367"/>
    <w:rsid w:val="00741EED"/>
    <w:rsid w:val="007558F6"/>
    <w:rsid w:val="00936B6C"/>
    <w:rsid w:val="00AC0A42"/>
    <w:rsid w:val="00D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E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EF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6379EF"/>
    <w:rPr>
      <w:rFonts w:ascii="Calibri" w:eastAsia="Calibri" w:hAnsi="Calibri" w:cs="Angsana New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2575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F5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5AE6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E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EF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6379EF"/>
    <w:rPr>
      <w:rFonts w:ascii="Calibri" w:eastAsia="Calibri" w:hAnsi="Calibri" w:cs="Angsana New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2575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F5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5AE6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2018-10-04T10:00:00Z</cp:lastPrinted>
  <dcterms:created xsi:type="dcterms:W3CDTF">2017-04-07T05:35:00Z</dcterms:created>
  <dcterms:modified xsi:type="dcterms:W3CDTF">2018-10-04T10:00:00Z</dcterms:modified>
</cp:coreProperties>
</file>